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70C8" w14:textId="090E1E45" w:rsidR="007338E7" w:rsidRPr="000C0AEA" w:rsidRDefault="007338E7" w:rsidP="000C0AEA">
      <w:pPr>
        <w:jc w:val="center"/>
        <w:rPr>
          <w:b/>
          <w:bCs/>
          <w:sz w:val="24"/>
          <w:szCs w:val="24"/>
        </w:rPr>
      </w:pPr>
      <w:r w:rsidRPr="000C0AEA">
        <w:rPr>
          <w:b/>
          <w:bCs/>
          <w:sz w:val="24"/>
          <w:szCs w:val="24"/>
        </w:rPr>
        <w:t>Pupil premium strategy statement – Assess Education</w:t>
      </w:r>
    </w:p>
    <w:p w14:paraId="16CFD5AF" w14:textId="34F1B776" w:rsidR="007338E7" w:rsidRPr="000C0AEA" w:rsidRDefault="007338E7" w:rsidP="007338E7">
      <w:pPr>
        <w:rPr>
          <w:b/>
          <w:bCs/>
          <w:sz w:val="24"/>
          <w:szCs w:val="24"/>
        </w:rPr>
      </w:pPr>
      <w:r w:rsidRPr="000C0AEA">
        <w:rPr>
          <w:b/>
          <w:bCs/>
          <w:sz w:val="24"/>
          <w:szCs w:val="24"/>
        </w:rPr>
        <w:t xml:space="preserve">School Overview: 2022-2023 </w:t>
      </w:r>
    </w:p>
    <w:tbl>
      <w:tblPr>
        <w:tblStyle w:val="TableGrid"/>
        <w:tblW w:w="10774" w:type="dxa"/>
        <w:tblInd w:w="-856" w:type="dxa"/>
        <w:tblLook w:val="04A0" w:firstRow="1" w:lastRow="0" w:firstColumn="1" w:lastColumn="0" w:noHBand="0" w:noVBand="1"/>
      </w:tblPr>
      <w:tblGrid>
        <w:gridCol w:w="5364"/>
        <w:gridCol w:w="5410"/>
      </w:tblGrid>
      <w:tr w:rsidR="007338E7" w:rsidRPr="00341471" w14:paraId="568F3DE0" w14:textId="77777777" w:rsidTr="000C0AEA">
        <w:tc>
          <w:tcPr>
            <w:tcW w:w="5364" w:type="dxa"/>
            <w:shd w:val="clear" w:color="auto" w:fill="E13FAB"/>
          </w:tcPr>
          <w:p w14:paraId="34849579" w14:textId="37D18C5C" w:rsidR="007338E7" w:rsidRPr="00341471" w:rsidRDefault="007338E7" w:rsidP="007338E7">
            <w:pPr>
              <w:jc w:val="center"/>
              <w:rPr>
                <w:b/>
                <w:bCs/>
                <w:sz w:val="24"/>
                <w:szCs w:val="24"/>
              </w:rPr>
            </w:pPr>
            <w:r w:rsidRPr="00341471">
              <w:rPr>
                <w:b/>
                <w:bCs/>
                <w:sz w:val="24"/>
                <w:szCs w:val="24"/>
              </w:rPr>
              <w:t>Detail</w:t>
            </w:r>
          </w:p>
        </w:tc>
        <w:tc>
          <w:tcPr>
            <w:tcW w:w="5410" w:type="dxa"/>
            <w:shd w:val="clear" w:color="auto" w:fill="E13FAB"/>
          </w:tcPr>
          <w:p w14:paraId="5D6714A1" w14:textId="7D026CAD" w:rsidR="007338E7" w:rsidRPr="00341471" w:rsidRDefault="007338E7" w:rsidP="007338E7">
            <w:pPr>
              <w:jc w:val="center"/>
              <w:rPr>
                <w:b/>
                <w:bCs/>
                <w:sz w:val="24"/>
                <w:szCs w:val="24"/>
              </w:rPr>
            </w:pPr>
            <w:r w:rsidRPr="00341471">
              <w:rPr>
                <w:b/>
                <w:bCs/>
                <w:sz w:val="24"/>
                <w:szCs w:val="24"/>
              </w:rPr>
              <w:t>Data</w:t>
            </w:r>
          </w:p>
        </w:tc>
      </w:tr>
      <w:tr w:rsidR="007338E7" w:rsidRPr="00341471" w14:paraId="2B1D3207" w14:textId="77777777" w:rsidTr="007338E7">
        <w:tc>
          <w:tcPr>
            <w:tcW w:w="5364" w:type="dxa"/>
          </w:tcPr>
          <w:p w14:paraId="5045AEF6" w14:textId="1368C51C" w:rsidR="007338E7" w:rsidRPr="00341471" w:rsidRDefault="007338E7" w:rsidP="007338E7">
            <w:pPr>
              <w:rPr>
                <w:sz w:val="24"/>
                <w:szCs w:val="24"/>
              </w:rPr>
            </w:pPr>
            <w:r w:rsidRPr="00341471">
              <w:rPr>
                <w:sz w:val="24"/>
                <w:szCs w:val="24"/>
              </w:rPr>
              <w:t xml:space="preserve">Number of pupils in school </w:t>
            </w:r>
          </w:p>
        </w:tc>
        <w:tc>
          <w:tcPr>
            <w:tcW w:w="5410" w:type="dxa"/>
          </w:tcPr>
          <w:p w14:paraId="1C56057C" w14:textId="02EB404D" w:rsidR="007338E7" w:rsidRPr="00341471" w:rsidRDefault="007338E7" w:rsidP="007338E7">
            <w:pPr>
              <w:rPr>
                <w:sz w:val="24"/>
                <w:szCs w:val="24"/>
              </w:rPr>
            </w:pPr>
            <w:r w:rsidRPr="00341471">
              <w:rPr>
                <w:sz w:val="24"/>
                <w:szCs w:val="24"/>
              </w:rPr>
              <w:t>27</w:t>
            </w:r>
          </w:p>
        </w:tc>
      </w:tr>
      <w:tr w:rsidR="007338E7" w:rsidRPr="00341471" w14:paraId="719BDD85" w14:textId="77777777" w:rsidTr="007338E7">
        <w:tc>
          <w:tcPr>
            <w:tcW w:w="5364" w:type="dxa"/>
          </w:tcPr>
          <w:p w14:paraId="1A14F111" w14:textId="753B549E" w:rsidR="007338E7" w:rsidRPr="00341471" w:rsidRDefault="007338E7" w:rsidP="007338E7">
            <w:pPr>
              <w:rPr>
                <w:sz w:val="24"/>
                <w:szCs w:val="24"/>
              </w:rPr>
            </w:pPr>
            <w:r w:rsidRPr="00341471">
              <w:rPr>
                <w:sz w:val="24"/>
                <w:szCs w:val="24"/>
              </w:rPr>
              <w:t xml:space="preserve">Proportion of (%) of pupil premium eligible pupils </w:t>
            </w:r>
          </w:p>
        </w:tc>
        <w:tc>
          <w:tcPr>
            <w:tcW w:w="5410" w:type="dxa"/>
          </w:tcPr>
          <w:p w14:paraId="3070C755" w14:textId="619094D2" w:rsidR="007338E7" w:rsidRPr="00341471" w:rsidRDefault="007338E7" w:rsidP="007338E7">
            <w:pPr>
              <w:rPr>
                <w:sz w:val="24"/>
                <w:szCs w:val="24"/>
              </w:rPr>
            </w:pPr>
            <w:r w:rsidRPr="00341471">
              <w:rPr>
                <w:sz w:val="24"/>
                <w:szCs w:val="24"/>
              </w:rPr>
              <w:t>1.85%</w:t>
            </w:r>
          </w:p>
        </w:tc>
      </w:tr>
      <w:tr w:rsidR="007338E7" w:rsidRPr="00341471" w14:paraId="488C9895" w14:textId="77777777" w:rsidTr="007338E7">
        <w:tc>
          <w:tcPr>
            <w:tcW w:w="5364" w:type="dxa"/>
          </w:tcPr>
          <w:p w14:paraId="038E28C3" w14:textId="5660B679" w:rsidR="007338E7" w:rsidRPr="00341471" w:rsidRDefault="007338E7" w:rsidP="007338E7">
            <w:pPr>
              <w:rPr>
                <w:sz w:val="24"/>
                <w:szCs w:val="24"/>
              </w:rPr>
            </w:pPr>
            <w:r w:rsidRPr="00341471">
              <w:rPr>
                <w:sz w:val="24"/>
                <w:szCs w:val="24"/>
              </w:rPr>
              <w:t xml:space="preserve">Academic year/years that our current pupil premium strategy plan covers (3-year plans are recommended) </w:t>
            </w:r>
          </w:p>
        </w:tc>
        <w:tc>
          <w:tcPr>
            <w:tcW w:w="5410" w:type="dxa"/>
          </w:tcPr>
          <w:p w14:paraId="7FBE749D" w14:textId="7408E7D4" w:rsidR="007338E7" w:rsidRPr="00341471" w:rsidRDefault="007338E7" w:rsidP="007338E7">
            <w:pPr>
              <w:rPr>
                <w:sz w:val="24"/>
                <w:szCs w:val="24"/>
              </w:rPr>
            </w:pPr>
            <w:r w:rsidRPr="00341471">
              <w:rPr>
                <w:sz w:val="24"/>
                <w:szCs w:val="24"/>
              </w:rPr>
              <w:t>21-22</w:t>
            </w:r>
          </w:p>
        </w:tc>
      </w:tr>
      <w:tr w:rsidR="007338E7" w:rsidRPr="00341471" w14:paraId="4D4E0D15" w14:textId="77777777" w:rsidTr="007338E7">
        <w:tc>
          <w:tcPr>
            <w:tcW w:w="5364" w:type="dxa"/>
          </w:tcPr>
          <w:p w14:paraId="54C6552F" w14:textId="59F13CAC" w:rsidR="007338E7" w:rsidRPr="00341471" w:rsidRDefault="007338E7" w:rsidP="007338E7">
            <w:pPr>
              <w:rPr>
                <w:sz w:val="24"/>
                <w:szCs w:val="24"/>
              </w:rPr>
            </w:pPr>
            <w:r w:rsidRPr="00341471">
              <w:rPr>
                <w:sz w:val="24"/>
                <w:szCs w:val="24"/>
              </w:rPr>
              <w:t xml:space="preserve">Date this statement was published </w:t>
            </w:r>
          </w:p>
        </w:tc>
        <w:tc>
          <w:tcPr>
            <w:tcW w:w="5410" w:type="dxa"/>
          </w:tcPr>
          <w:p w14:paraId="57BEC9BC" w14:textId="33049BDB" w:rsidR="007338E7" w:rsidRPr="00341471" w:rsidRDefault="007338E7" w:rsidP="007338E7">
            <w:pPr>
              <w:rPr>
                <w:sz w:val="24"/>
                <w:szCs w:val="24"/>
              </w:rPr>
            </w:pPr>
            <w:r w:rsidRPr="00341471">
              <w:rPr>
                <w:sz w:val="24"/>
                <w:szCs w:val="24"/>
              </w:rPr>
              <w:t>September 2023</w:t>
            </w:r>
          </w:p>
        </w:tc>
      </w:tr>
      <w:tr w:rsidR="007338E7" w:rsidRPr="00341471" w14:paraId="78FFF08D" w14:textId="77777777" w:rsidTr="007338E7">
        <w:tc>
          <w:tcPr>
            <w:tcW w:w="5364" w:type="dxa"/>
          </w:tcPr>
          <w:p w14:paraId="4658CC06" w14:textId="22851246" w:rsidR="007338E7" w:rsidRPr="00341471" w:rsidRDefault="007338E7" w:rsidP="007338E7">
            <w:pPr>
              <w:rPr>
                <w:sz w:val="24"/>
                <w:szCs w:val="24"/>
              </w:rPr>
            </w:pPr>
            <w:r w:rsidRPr="00341471">
              <w:rPr>
                <w:sz w:val="24"/>
                <w:szCs w:val="24"/>
              </w:rPr>
              <w:t>Date on which i</w:t>
            </w:r>
            <w:r w:rsidR="00995628">
              <w:rPr>
                <w:sz w:val="24"/>
                <w:szCs w:val="24"/>
              </w:rPr>
              <w:t xml:space="preserve">t </w:t>
            </w:r>
            <w:r w:rsidRPr="00341471">
              <w:rPr>
                <w:sz w:val="24"/>
                <w:szCs w:val="24"/>
              </w:rPr>
              <w:t xml:space="preserve">will be reviewed </w:t>
            </w:r>
          </w:p>
        </w:tc>
        <w:tc>
          <w:tcPr>
            <w:tcW w:w="5410" w:type="dxa"/>
          </w:tcPr>
          <w:p w14:paraId="5797E383" w14:textId="7ACE7F02" w:rsidR="007338E7" w:rsidRPr="00341471" w:rsidRDefault="007338E7" w:rsidP="007338E7">
            <w:pPr>
              <w:rPr>
                <w:sz w:val="24"/>
                <w:szCs w:val="24"/>
              </w:rPr>
            </w:pPr>
            <w:r w:rsidRPr="00341471">
              <w:rPr>
                <w:sz w:val="24"/>
                <w:szCs w:val="24"/>
              </w:rPr>
              <w:t>July 2024</w:t>
            </w:r>
          </w:p>
        </w:tc>
      </w:tr>
      <w:tr w:rsidR="007338E7" w:rsidRPr="00341471" w14:paraId="4ECBF28D" w14:textId="77777777" w:rsidTr="007338E7">
        <w:tc>
          <w:tcPr>
            <w:tcW w:w="5364" w:type="dxa"/>
          </w:tcPr>
          <w:p w14:paraId="0DBC5ADF" w14:textId="34694963" w:rsidR="007338E7" w:rsidRPr="00341471" w:rsidRDefault="007338E7" w:rsidP="007338E7">
            <w:pPr>
              <w:rPr>
                <w:sz w:val="24"/>
                <w:szCs w:val="24"/>
              </w:rPr>
            </w:pPr>
            <w:r w:rsidRPr="00341471">
              <w:rPr>
                <w:sz w:val="24"/>
                <w:szCs w:val="24"/>
              </w:rPr>
              <w:t>Statement authorised by</w:t>
            </w:r>
          </w:p>
        </w:tc>
        <w:tc>
          <w:tcPr>
            <w:tcW w:w="5410" w:type="dxa"/>
          </w:tcPr>
          <w:p w14:paraId="0DF6C40E" w14:textId="030773B6" w:rsidR="007338E7" w:rsidRPr="00341471" w:rsidRDefault="007338E7" w:rsidP="007338E7">
            <w:pPr>
              <w:rPr>
                <w:sz w:val="24"/>
                <w:szCs w:val="24"/>
              </w:rPr>
            </w:pPr>
            <w:r w:rsidRPr="00341471">
              <w:rPr>
                <w:sz w:val="24"/>
                <w:szCs w:val="24"/>
              </w:rPr>
              <w:t>D.R</w:t>
            </w:r>
          </w:p>
        </w:tc>
      </w:tr>
      <w:tr w:rsidR="007338E7" w:rsidRPr="00341471" w14:paraId="0E8B2880" w14:textId="77777777" w:rsidTr="007338E7">
        <w:tc>
          <w:tcPr>
            <w:tcW w:w="5364" w:type="dxa"/>
          </w:tcPr>
          <w:p w14:paraId="0124DE2C" w14:textId="38177099" w:rsidR="007338E7" w:rsidRPr="00341471" w:rsidRDefault="007338E7" w:rsidP="007338E7">
            <w:pPr>
              <w:rPr>
                <w:sz w:val="24"/>
                <w:szCs w:val="24"/>
              </w:rPr>
            </w:pPr>
            <w:r w:rsidRPr="00341471">
              <w:rPr>
                <w:sz w:val="24"/>
                <w:szCs w:val="24"/>
              </w:rPr>
              <w:t>Pupil premium lead</w:t>
            </w:r>
          </w:p>
        </w:tc>
        <w:tc>
          <w:tcPr>
            <w:tcW w:w="5410" w:type="dxa"/>
          </w:tcPr>
          <w:p w14:paraId="7E6BF461" w14:textId="7C2164AF" w:rsidR="007338E7" w:rsidRPr="00341471" w:rsidRDefault="007338E7" w:rsidP="007338E7">
            <w:pPr>
              <w:rPr>
                <w:sz w:val="24"/>
                <w:szCs w:val="24"/>
              </w:rPr>
            </w:pPr>
            <w:r w:rsidRPr="00341471">
              <w:rPr>
                <w:sz w:val="24"/>
                <w:szCs w:val="24"/>
              </w:rPr>
              <w:t>D.R</w:t>
            </w:r>
          </w:p>
        </w:tc>
      </w:tr>
      <w:tr w:rsidR="007338E7" w:rsidRPr="00341471" w14:paraId="057DD67B" w14:textId="77777777" w:rsidTr="007338E7">
        <w:tc>
          <w:tcPr>
            <w:tcW w:w="5364" w:type="dxa"/>
          </w:tcPr>
          <w:p w14:paraId="0B9D6DE0" w14:textId="6A1A5E0B" w:rsidR="007338E7" w:rsidRPr="00341471" w:rsidRDefault="007338E7" w:rsidP="007338E7">
            <w:pPr>
              <w:rPr>
                <w:sz w:val="24"/>
                <w:szCs w:val="24"/>
              </w:rPr>
            </w:pPr>
            <w:r w:rsidRPr="00341471">
              <w:rPr>
                <w:sz w:val="24"/>
                <w:szCs w:val="24"/>
              </w:rPr>
              <w:t xml:space="preserve">Governor / Trustee lead </w:t>
            </w:r>
          </w:p>
        </w:tc>
        <w:tc>
          <w:tcPr>
            <w:tcW w:w="5410" w:type="dxa"/>
          </w:tcPr>
          <w:p w14:paraId="318CE6C5" w14:textId="02B1DE86" w:rsidR="007338E7" w:rsidRPr="00341471" w:rsidRDefault="007338E7" w:rsidP="007338E7">
            <w:pPr>
              <w:rPr>
                <w:sz w:val="24"/>
                <w:szCs w:val="24"/>
              </w:rPr>
            </w:pPr>
            <w:proofErr w:type="gramStart"/>
            <w:r w:rsidRPr="00341471">
              <w:rPr>
                <w:sz w:val="24"/>
                <w:szCs w:val="24"/>
              </w:rPr>
              <w:t>W.B</w:t>
            </w:r>
            <w:proofErr w:type="gramEnd"/>
          </w:p>
        </w:tc>
      </w:tr>
    </w:tbl>
    <w:p w14:paraId="61F74AD2" w14:textId="77777777" w:rsidR="007338E7" w:rsidRPr="00341471" w:rsidRDefault="007338E7" w:rsidP="007338E7">
      <w:pPr>
        <w:rPr>
          <w:sz w:val="24"/>
          <w:szCs w:val="24"/>
        </w:rPr>
      </w:pPr>
    </w:p>
    <w:p w14:paraId="2099A130" w14:textId="176FDAA5" w:rsidR="007338E7" w:rsidRPr="00995628" w:rsidRDefault="007338E7" w:rsidP="00995628">
      <w:pPr>
        <w:jc w:val="center"/>
        <w:rPr>
          <w:b/>
          <w:bCs/>
          <w:sz w:val="24"/>
          <w:szCs w:val="24"/>
        </w:rPr>
      </w:pPr>
      <w:r w:rsidRPr="00995628">
        <w:rPr>
          <w:b/>
          <w:bCs/>
          <w:sz w:val="24"/>
          <w:szCs w:val="24"/>
        </w:rPr>
        <w:t>Part A: Pupil premium strategy plan</w:t>
      </w:r>
    </w:p>
    <w:p w14:paraId="26E9BA92" w14:textId="1F3E98DD" w:rsidR="007338E7" w:rsidRPr="00995628" w:rsidRDefault="007338E7" w:rsidP="00995628">
      <w:pPr>
        <w:jc w:val="center"/>
        <w:rPr>
          <w:i/>
          <w:iCs/>
          <w:sz w:val="24"/>
          <w:szCs w:val="24"/>
        </w:rPr>
      </w:pPr>
      <w:r w:rsidRPr="00995628">
        <w:rPr>
          <w:i/>
          <w:iCs/>
          <w:sz w:val="24"/>
          <w:szCs w:val="24"/>
        </w:rPr>
        <w:t>Statement of intent</w:t>
      </w:r>
    </w:p>
    <w:p w14:paraId="36006327" w14:textId="08CCB247" w:rsidR="007338E7" w:rsidRPr="00341471" w:rsidRDefault="007338E7" w:rsidP="007338E7">
      <w:pPr>
        <w:rPr>
          <w:sz w:val="24"/>
          <w:szCs w:val="24"/>
        </w:rPr>
      </w:pPr>
      <w:r w:rsidRPr="00341471">
        <w:rPr>
          <w:sz w:val="24"/>
          <w:szCs w:val="24"/>
        </w:rPr>
        <w:t>This statement details our school’s use of pupil premium (and recovery premium) funding to help improve the attainment of our disadvantaged pupils. It outlines our pupil premium strategy, how we intend to spend the funding in this academic year and the outcomes for disadvantaged pupils last academic year.</w:t>
      </w:r>
    </w:p>
    <w:p w14:paraId="2B1D96A5" w14:textId="091F4ACB" w:rsidR="007338E7" w:rsidRPr="00341471" w:rsidRDefault="007338E7" w:rsidP="007338E7">
      <w:pPr>
        <w:rPr>
          <w:sz w:val="24"/>
          <w:szCs w:val="24"/>
        </w:rPr>
      </w:pPr>
      <w:r w:rsidRPr="00341471">
        <w:rPr>
          <w:sz w:val="24"/>
          <w:szCs w:val="24"/>
        </w:rPr>
        <w:t xml:space="preserve">• Assess Education is a special school in South Liverpool. All our students have an Education and Health Care plan (EHCP) </w:t>
      </w:r>
    </w:p>
    <w:p w14:paraId="270C3DCC" w14:textId="77777777" w:rsidR="007338E7" w:rsidRPr="00341471" w:rsidRDefault="007338E7" w:rsidP="007338E7">
      <w:pPr>
        <w:rPr>
          <w:sz w:val="24"/>
          <w:szCs w:val="24"/>
        </w:rPr>
      </w:pPr>
      <w:r w:rsidRPr="00341471">
        <w:rPr>
          <w:sz w:val="24"/>
          <w:szCs w:val="24"/>
        </w:rPr>
        <w:t xml:space="preserve">• The average for Liverpool primary schools is 35.3% and secondary schools 40.7%. Nationally 42.2% of students in primary special schools and 49.2% of students in secondary special school are eligible for the Deprivation Pupil Premium. </w:t>
      </w:r>
    </w:p>
    <w:p w14:paraId="1CCF2A5F" w14:textId="3859CCAD" w:rsidR="007338E7" w:rsidRDefault="007338E7" w:rsidP="007338E7">
      <w:pPr>
        <w:rPr>
          <w:sz w:val="24"/>
          <w:szCs w:val="24"/>
        </w:rPr>
      </w:pPr>
      <w:r w:rsidRPr="00341471">
        <w:rPr>
          <w:sz w:val="24"/>
          <w:szCs w:val="24"/>
        </w:rPr>
        <w:t xml:space="preserve">• Our goal to delegate pupil premium funding towards achieving sustainable positive outcomes for students from disadvantages backgrounds. </w:t>
      </w:r>
    </w:p>
    <w:p w14:paraId="6F4EE2B5" w14:textId="77777777" w:rsidR="00995628" w:rsidRPr="00341471" w:rsidRDefault="00995628" w:rsidP="007338E7">
      <w:pPr>
        <w:rPr>
          <w:sz w:val="24"/>
          <w:szCs w:val="24"/>
        </w:rPr>
      </w:pPr>
    </w:p>
    <w:p w14:paraId="2A9B06CA" w14:textId="20D51FA2" w:rsidR="00995628" w:rsidRPr="00341471" w:rsidRDefault="007338E7" w:rsidP="007338E7">
      <w:pPr>
        <w:rPr>
          <w:sz w:val="24"/>
          <w:szCs w:val="24"/>
        </w:rPr>
      </w:pPr>
      <w:r w:rsidRPr="00341471">
        <w:rPr>
          <w:sz w:val="24"/>
          <w:szCs w:val="24"/>
        </w:rPr>
        <w:t xml:space="preserve">We aim to: </w:t>
      </w:r>
    </w:p>
    <w:p w14:paraId="5B6739D6" w14:textId="5BD3ABDF" w:rsidR="007338E7" w:rsidRPr="00341471" w:rsidRDefault="007338E7" w:rsidP="007338E7">
      <w:pPr>
        <w:rPr>
          <w:sz w:val="24"/>
          <w:szCs w:val="24"/>
        </w:rPr>
      </w:pPr>
      <w:r w:rsidRPr="00341471">
        <w:rPr>
          <w:sz w:val="24"/>
          <w:szCs w:val="24"/>
        </w:rPr>
        <w:t xml:space="preserve">• Provide personalised plans to support academic attainment, personal and social development </w:t>
      </w:r>
    </w:p>
    <w:p w14:paraId="29BB94A9" w14:textId="6FAA193D" w:rsidR="007338E7" w:rsidRPr="00341471" w:rsidRDefault="007338E7" w:rsidP="007338E7">
      <w:pPr>
        <w:rPr>
          <w:sz w:val="24"/>
          <w:szCs w:val="24"/>
        </w:rPr>
      </w:pPr>
      <w:r w:rsidRPr="00341471">
        <w:rPr>
          <w:sz w:val="24"/>
          <w:szCs w:val="24"/>
        </w:rPr>
        <w:t xml:space="preserve">• To increase retention in education and progression to further education and training </w:t>
      </w:r>
    </w:p>
    <w:p w14:paraId="4A64D390" w14:textId="4A6AE478" w:rsidR="007338E7" w:rsidRPr="00341471" w:rsidRDefault="007338E7" w:rsidP="007338E7">
      <w:pPr>
        <w:rPr>
          <w:sz w:val="24"/>
          <w:szCs w:val="24"/>
        </w:rPr>
      </w:pPr>
      <w:r w:rsidRPr="00341471">
        <w:rPr>
          <w:sz w:val="24"/>
          <w:szCs w:val="24"/>
        </w:rPr>
        <w:t>• To allow students to develop transferable skills to aid in managing their own well-being and life outside of school</w:t>
      </w:r>
    </w:p>
    <w:p w14:paraId="57695B64" w14:textId="4D9B8B74" w:rsidR="007338E7" w:rsidRPr="00341471" w:rsidRDefault="007338E7" w:rsidP="007338E7">
      <w:pPr>
        <w:rPr>
          <w:sz w:val="24"/>
          <w:szCs w:val="24"/>
        </w:rPr>
      </w:pPr>
      <w:r w:rsidRPr="00341471">
        <w:rPr>
          <w:sz w:val="24"/>
          <w:szCs w:val="24"/>
        </w:rPr>
        <w:t xml:space="preserve">• Where possible, provide employability options including supported internships </w:t>
      </w:r>
    </w:p>
    <w:p w14:paraId="691A0368" w14:textId="5BFBCB35" w:rsidR="007338E7" w:rsidRPr="00341471" w:rsidRDefault="007338E7" w:rsidP="007338E7">
      <w:pPr>
        <w:rPr>
          <w:sz w:val="24"/>
          <w:szCs w:val="24"/>
        </w:rPr>
      </w:pPr>
      <w:r w:rsidRPr="00341471">
        <w:rPr>
          <w:sz w:val="24"/>
          <w:szCs w:val="24"/>
        </w:rPr>
        <w:t xml:space="preserve">• To develop social interactions both within and beyond the school. Evidence suggests that pupil premium is most effective when spending is targeted across 3 areas - teaching, </w:t>
      </w:r>
      <w:r w:rsidRPr="00341471">
        <w:rPr>
          <w:sz w:val="24"/>
          <w:szCs w:val="24"/>
        </w:rPr>
        <w:lastRenderedPageBreak/>
        <w:t>targeted academic support and support for non-academic areas which may affect progress in school.</w:t>
      </w:r>
    </w:p>
    <w:p w14:paraId="76EDDE9F" w14:textId="6796673B" w:rsidR="007338E7" w:rsidRDefault="007338E7" w:rsidP="007338E7">
      <w:pPr>
        <w:rPr>
          <w:sz w:val="24"/>
          <w:szCs w:val="24"/>
        </w:rPr>
      </w:pPr>
      <w:r w:rsidRPr="00341471">
        <w:rPr>
          <w:sz w:val="24"/>
          <w:szCs w:val="24"/>
        </w:rPr>
        <w:t xml:space="preserve"> • To provide high-quality teaching, offering targeted support, based on assessment of need. We will achieve this through offering a balanced, focused curriculum. Although our strategy is focused on the needs of disadvantaged pupils, it offers benefits to all pupils where funding is spent on whole-school approaches.</w:t>
      </w:r>
    </w:p>
    <w:p w14:paraId="475A8020" w14:textId="2B2B5AC7" w:rsidR="000C0AEA" w:rsidRDefault="000C0AEA" w:rsidP="00995628">
      <w:pPr>
        <w:jc w:val="center"/>
        <w:rPr>
          <w:b/>
          <w:bCs/>
          <w:sz w:val="24"/>
          <w:szCs w:val="24"/>
        </w:rPr>
      </w:pPr>
      <w:r>
        <w:rPr>
          <w:b/>
          <w:bCs/>
          <w:sz w:val="24"/>
          <w:szCs w:val="24"/>
        </w:rPr>
        <w:t>Challenges</w:t>
      </w:r>
    </w:p>
    <w:p w14:paraId="38B2B48D" w14:textId="158B98B0" w:rsidR="000C0AEA" w:rsidRDefault="000C0AEA" w:rsidP="007338E7">
      <w:pPr>
        <w:rPr>
          <w:sz w:val="24"/>
          <w:szCs w:val="24"/>
        </w:rPr>
      </w:pPr>
      <w:r>
        <w:rPr>
          <w:sz w:val="24"/>
          <w:szCs w:val="24"/>
        </w:rPr>
        <w:t xml:space="preserve">This details the key challenges to achievement that we have identified among our disadvantaged pupils. </w:t>
      </w:r>
    </w:p>
    <w:tbl>
      <w:tblPr>
        <w:tblStyle w:val="TableGrid"/>
        <w:tblW w:w="0" w:type="auto"/>
        <w:tblLook w:val="0420" w:firstRow="1" w:lastRow="0" w:firstColumn="0" w:lastColumn="0" w:noHBand="0" w:noVBand="1"/>
      </w:tblPr>
      <w:tblGrid>
        <w:gridCol w:w="4508"/>
        <w:gridCol w:w="4508"/>
      </w:tblGrid>
      <w:tr w:rsidR="000C0AEA" w14:paraId="6814CB3B" w14:textId="77777777" w:rsidTr="000C0AEA">
        <w:tc>
          <w:tcPr>
            <w:tcW w:w="4508" w:type="dxa"/>
            <w:shd w:val="clear" w:color="auto" w:fill="E13FAB"/>
          </w:tcPr>
          <w:p w14:paraId="0D8807C0" w14:textId="539CC8F2" w:rsidR="000C0AEA" w:rsidRDefault="000C0AEA" w:rsidP="007338E7">
            <w:pPr>
              <w:rPr>
                <w:sz w:val="24"/>
                <w:szCs w:val="24"/>
              </w:rPr>
            </w:pPr>
            <w:r>
              <w:rPr>
                <w:sz w:val="24"/>
                <w:szCs w:val="24"/>
              </w:rPr>
              <w:t xml:space="preserve">Challenge number </w:t>
            </w:r>
          </w:p>
        </w:tc>
        <w:tc>
          <w:tcPr>
            <w:tcW w:w="4508" w:type="dxa"/>
            <w:shd w:val="clear" w:color="auto" w:fill="E13FAB"/>
          </w:tcPr>
          <w:p w14:paraId="369E0AE5" w14:textId="21BE3D02" w:rsidR="000C0AEA" w:rsidRDefault="000C0AEA" w:rsidP="007338E7">
            <w:pPr>
              <w:rPr>
                <w:sz w:val="24"/>
                <w:szCs w:val="24"/>
              </w:rPr>
            </w:pPr>
            <w:r>
              <w:rPr>
                <w:sz w:val="24"/>
                <w:szCs w:val="24"/>
              </w:rPr>
              <w:t xml:space="preserve">Detail of challenge </w:t>
            </w:r>
          </w:p>
        </w:tc>
      </w:tr>
      <w:tr w:rsidR="000C0AEA" w14:paraId="2D33F7E5" w14:textId="77777777" w:rsidTr="000C0AEA">
        <w:tc>
          <w:tcPr>
            <w:tcW w:w="4508" w:type="dxa"/>
          </w:tcPr>
          <w:p w14:paraId="00C580B0" w14:textId="4B319FF5" w:rsidR="000C0AEA" w:rsidRPr="000C0AEA" w:rsidRDefault="000C0AEA" w:rsidP="000C0AEA">
            <w:pPr>
              <w:pStyle w:val="ListParagraph"/>
              <w:numPr>
                <w:ilvl w:val="0"/>
                <w:numId w:val="2"/>
              </w:numPr>
              <w:rPr>
                <w:sz w:val="24"/>
                <w:szCs w:val="24"/>
              </w:rPr>
            </w:pPr>
          </w:p>
        </w:tc>
        <w:tc>
          <w:tcPr>
            <w:tcW w:w="4508" w:type="dxa"/>
          </w:tcPr>
          <w:p w14:paraId="33E682C8" w14:textId="5780F799" w:rsidR="000C0AEA" w:rsidRDefault="000C0AEA" w:rsidP="007338E7">
            <w:pPr>
              <w:rPr>
                <w:sz w:val="24"/>
                <w:szCs w:val="24"/>
              </w:rPr>
            </w:pPr>
            <w:r>
              <w:rPr>
                <w:sz w:val="24"/>
                <w:szCs w:val="24"/>
              </w:rPr>
              <w:t xml:space="preserve">Developmental delay requiring intensive ‘’catch up’’ in learning </w:t>
            </w:r>
          </w:p>
        </w:tc>
      </w:tr>
      <w:tr w:rsidR="000C0AEA" w14:paraId="36E00880" w14:textId="77777777" w:rsidTr="000C0AEA">
        <w:tc>
          <w:tcPr>
            <w:tcW w:w="4508" w:type="dxa"/>
          </w:tcPr>
          <w:p w14:paraId="3DB9C4E0" w14:textId="6BCBDE11" w:rsidR="000C0AEA" w:rsidRPr="000C0AEA" w:rsidRDefault="000C0AEA" w:rsidP="000C0AEA">
            <w:pPr>
              <w:pStyle w:val="ListParagraph"/>
              <w:numPr>
                <w:ilvl w:val="0"/>
                <w:numId w:val="2"/>
              </w:numPr>
              <w:rPr>
                <w:sz w:val="24"/>
                <w:szCs w:val="24"/>
              </w:rPr>
            </w:pPr>
          </w:p>
        </w:tc>
        <w:tc>
          <w:tcPr>
            <w:tcW w:w="4508" w:type="dxa"/>
          </w:tcPr>
          <w:p w14:paraId="1AC29BCF" w14:textId="2A405332" w:rsidR="000C0AEA" w:rsidRDefault="000C0AEA" w:rsidP="007338E7">
            <w:pPr>
              <w:rPr>
                <w:sz w:val="24"/>
                <w:szCs w:val="24"/>
              </w:rPr>
            </w:pPr>
            <w:r>
              <w:rPr>
                <w:sz w:val="24"/>
                <w:szCs w:val="24"/>
              </w:rPr>
              <w:t>Social communication difficulties and sensory sensitives related to ASD, (PDA) and ADHD</w:t>
            </w:r>
          </w:p>
        </w:tc>
      </w:tr>
      <w:tr w:rsidR="000C0AEA" w14:paraId="026AFC37" w14:textId="77777777" w:rsidTr="000C0AEA">
        <w:tc>
          <w:tcPr>
            <w:tcW w:w="4508" w:type="dxa"/>
          </w:tcPr>
          <w:p w14:paraId="4BB2E819" w14:textId="17DAFAB2" w:rsidR="000C0AEA" w:rsidRPr="000C0AEA" w:rsidRDefault="000C0AEA" w:rsidP="000C0AEA">
            <w:pPr>
              <w:pStyle w:val="ListParagraph"/>
              <w:numPr>
                <w:ilvl w:val="0"/>
                <w:numId w:val="2"/>
              </w:numPr>
              <w:rPr>
                <w:sz w:val="24"/>
                <w:szCs w:val="24"/>
              </w:rPr>
            </w:pPr>
          </w:p>
        </w:tc>
        <w:tc>
          <w:tcPr>
            <w:tcW w:w="4508" w:type="dxa"/>
          </w:tcPr>
          <w:p w14:paraId="297ED981" w14:textId="64BFAAC7" w:rsidR="000C0AEA" w:rsidRDefault="000C0AEA" w:rsidP="007338E7">
            <w:pPr>
              <w:rPr>
                <w:sz w:val="24"/>
                <w:szCs w:val="24"/>
              </w:rPr>
            </w:pPr>
            <w:r>
              <w:rPr>
                <w:sz w:val="24"/>
                <w:szCs w:val="24"/>
              </w:rPr>
              <w:t>Increased levels of anxiety and mental health concerns</w:t>
            </w:r>
          </w:p>
        </w:tc>
      </w:tr>
      <w:tr w:rsidR="000C0AEA" w14:paraId="30B5B0D8" w14:textId="77777777" w:rsidTr="000C0AEA">
        <w:tc>
          <w:tcPr>
            <w:tcW w:w="4508" w:type="dxa"/>
          </w:tcPr>
          <w:p w14:paraId="5D5A6EFE" w14:textId="14070DE1" w:rsidR="000C0AEA" w:rsidRPr="000C0AEA" w:rsidRDefault="000C0AEA" w:rsidP="000C0AEA">
            <w:pPr>
              <w:pStyle w:val="ListParagraph"/>
              <w:numPr>
                <w:ilvl w:val="0"/>
                <w:numId w:val="2"/>
              </w:numPr>
              <w:rPr>
                <w:sz w:val="24"/>
                <w:szCs w:val="24"/>
              </w:rPr>
            </w:pPr>
          </w:p>
        </w:tc>
        <w:tc>
          <w:tcPr>
            <w:tcW w:w="4508" w:type="dxa"/>
          </w:tcPr>
          <w:p w14:paraId="7160FC23" w14:textId="5EABC3C8" w:rsidR="000C0AEA" w:rsidRDefault="000C0AEA" w:rsidP="007338E7">
            <w:pPr>
              <w:rPr>
                <w:sz w:val="24"/>
                <w:szCs w:val="24"/>
              </w:rPr>
            </w:pPr>
            <w:r>
              <w:rPr>
                <w:sz w:val="24"/>
                <w:szCs w:val="24"/>
              </w:rPr>
              <w:t xml:space="preserve">Lack of knowledge, experience and resilience to engage with cultural, social, educational and outdoor activities </w:t>
            </w:r>
          </w:p>
        </w:tc>
      </w:tr>
    </w:tbl>
    <w:p w14:paraId="58E47C01" w14:textId="77777777" w:rsidR="000C0AEA" w:rsidRDefault="000C0AEA" w:rsidP="007338E7">
      <w:pPr>
        <w:rPr>
          <w:sz w:val="24"/>
          <w:szCs w:val="24"/>
        </w:rPr>
      </w:pPr>
    </w:p>
    <w:p w14:paraId="55AA8579" w14:textId="39463E5D" w:rsidR="000C0AEA" w:rsidRDefault="000C0AEA" w:rsidP="00995628">
      <w:pPr>
        <w:jc w:val="center"/>
        <w:rPr>
          <w:b/>
          <w:bCs/>
          <w:sz w:val="24"/>
          <w:szCs w:val="24"/>
        </w:rPr>
      </w:pPr>
      <w:r>
        <w:rPr>
          <w:b/>
          <w:bCs/>
          <w:sz w:val="24"/>
          <w:szCs w:val="24"/>
        </w:rPr>
        <w:t xml:space="preserve">Intended </w:t>
      </w:r>
      <w:proofErr w:type="gramStart"/>
      <w:r>
        <w:rPr>
          <w:b/>
          <w:bCs/>
          <w:sz w:val="24"/>
          <w:szCs w:val="24"/>
        </w:rPr>
        <w:t>outcomes</w:t>
      </w:r>
      <w:proofErr w:type="gramEnd"/>
    </w:p>
    <w:p w14:paraId="52AB0E69" w14:textId="75E81964" w:rsidR="000C0AEA" w:rsidRDefault="000C0AEA" w:rsidP="007338E7">
      <w:pPr>
        <w:rPr>
          <w:sz w:val="24"/>
          <w:szCs w:val="24"/>
        </w:rPr>
      </w:pPr>
      <w:r>
        <w:rPr>
          <w:sz w:val="24"/>
          <w:szCs w:val="24"/>
        </w:rPr>
        <w:t xml:space="preserve">This explains the outcomes we are aiming and how we will measure whether they have been achieved. </w:t>
      </w:r>
    </w:p>
    <w:tbl>
      <w:tblPr>
        <w:tblStyle w:val="TableGrid"/>
        <w:tblW w:w="0" w:type="auto"/>
        <w:tblLook w:val="04A0" w:firstRow="1" w:lastRow="0" w:firstColumn="1" w:lastColumn="0" w:noHBand="0" w:noVBand="1"/>
      </w:tblPr>
      <w:tblGrid>
        <w:gridCol w:w="4508"/>
        <w:gridCol w:w="4508"/>
      </w:tblGrid>
      <w:tr w:rsidR="000C0AEA" w14:paraId="10964688" w14:textId="77777777" w:rsidTr="007308AC">
        <w:tc>
          <w:tcPr>
            <w:tcW w:w="4508" w:type="dxa"/>
            <w:shd w:val="clear" w:color="auto" w:fill="E13FAB"/>
          </w:tcPr>
          <w:p w14:paraId="28F323C7" w14:textId="6DA5D073" w:rsidR="000C0AEA" w:rsidRDefault="000C0AEA" w:rsidP="007308AC">
            <w:pPr>
              <w:jc w:val="center"/>
              <w:rPr>
                <w:sz w:val="24"/>
                <w:szCs w:val="24"/>
              </w:rPr>
            </w:pPr>
            <w:r>
              <w:rPr>
                <w:sz w:val="24"/>
                <w:szCs w:val="24"/>
              </w:rPr>
              <w:t>Intended outcome</w:t>
            </w:r>
          </w:p>
        </w:tc>
        <w:tc>
          <w:tcPr>
            <w:tcW w:w="4508" w:type="dxa"/>
            <w:shd w:val="clear" w:color="auto" w:fill="E13FAB"/>
          </w:tcPr>
          <w:p w14:paraId="12B04D68" w14:textId="52080DEF" w:rsidR="000C0AEA" w:rsidRDefault="000C0AEA" w:rsidP="007308AC">
            <w:pPr>
              <w:jc w:val="center"/>
              <w:rPr>
                <w:sz w:val="24"/>
                <w:szCs w:val="24"/>
              </w:rPr>
            </w:pPr>
            <w:r>
              <w:rPr>
                <w:sz w:val="24"/>
                <w:szCs w:val="24"/>
              </w:rPr>
              <w:t>Success criteria</w:t>
            </w:r>
          </w:p>
        </w:tc>
      </w:tr>
      <w:tr w:rsidR="000C0AEA" w14:paraId="7D43F298" w14:textId="77777777" w:rsidTr="000C0AEA">
        <w:tc>
          <w:tcPr>
            <w:tcW w:w="4508" w:type="dxa"/>
          </w:tcPr>
          <w:p w14:paraId="671DF225" w14:textId="77777777" w:rsidR="000C0AEA" w:rsidRDefault="000C0AEA" w:rsidP="007338E7">
            <w:pPr>
              <w:rPr>
                <w:sz w:val="24"/>
                <w:szCs w:val="24"/>
              </w:rPr>
            </w:pPr>
            <w:r>
              <w:rPr>
                <w:sz w:val="24"/>
                <w:szCs w:val="24"/>
              </w:rPr>
              <w:t xml:space="preserve">1a) Pro-active support for parental engagement and pursuing fines </w:t>
            </w:r>
            <w:proofErr w:type="spellStart"/>
            <w:r>
              <w:rPr>
                <w:sz w:val="24"/>
                <w:szCs w:val="24"/>
              </w:rPr>
              <w:t>ect</w:t>
            </w:r>
            <w:proofErr w:type="spellEnd"/>
            <w:r>
              <w:rPr>
                <w:sz w:val="24"/>
                <w:szCs w:val="24"/>
              </w:rPr>
              <w:t xml:space="preserve">. </w:t>
            </w:r>
          </w:p>
          <w:p w14:paraId="7BB7F422" w14:textId="0642570C" w:rsidR="000C0AEA" w:rsidRDefault="000C0AEA" w:rsidP="007338E7">
            <w:pPr>
              <w:rPr>
                <w:sz w:val="24"/>
                <w:szCs w:val="24"/>
              </w:rPr>
            </w:pPr>
            <w:r>
              <w:rPr>
                <w:sz w:val="24"/>
                <w:szCs w:val="24"/>
              </w:rPr>
              <w:t>b) Enhanced capacity to support behaviour for learning</w:t>
            </w:r>
            <w:r w:rsidR="00351276">
              <w:rPr>
                <w:sz w:val="24"/>
                <w:szCs w:val="24"/>
              </w:rPr>
              <w:t>.</w:t>
            </w:r>
          </w:p>
          <w:p w14:paraId="701C8846" w14:textId="65E0FB4A" w:rsidR="000C0AEA" w:rsidRDefault="000C0AEA" w:rsidP="007338E7">
            <w:pPr>
              <w:rPr>
                <w:sz w:val="24"/>
                <w:szCs w:val="24"/>
              </w:rPr>
            </w:pPr>
            <w:r>
              <w:rPr>
                <w:sz w:val="24"/>
                <w:szCs w:val="24"/>
              </w:rPr>
              <w:t>c) Strengthened network of parents/carers/other agencies to support pupils</w:t>
            </w:r>
            <w:r w:rsidR="00351276">
              <w:rPr>
                <w:sz w:val="24"/>
                <w:szCs w:val="24"/>
              </w:rPr>
              <w:t>.</w:t>
            </w:r>
          </w:p>
        </w:tc>
        <w:tc>
          <w:tcPr>
            <w:tcW w:w="4508" w:type="dxa"/>
          </w:tcPr>
          <w:p w14:paraId="02AF432B" w14:textId="28659EA5" w:rsidR="000C0AEA" w:rsidRDefault="00600C92" w:rsidP="007338E7">
            <w:pPr>
              <w:rPr>
                <w:sz w:val="24"/>
                <w:szCs w:val="24"/>
              </w:rPr>
            </w:pPr>
            <w:r>
              <w:rPr>
                <w:sz w:val="24"/>
                <w:szCs w:val="24"/>
              </w:rPr>
              <w:t>a) Linking fully with parents/careers and all staff</w:t>
            </w:r>
            <w:r w:rsidR="00351276">
              <w:rPr>
                <w:sz w:val="24"/>
                <w:szCs w:val="24"/>
              </w:rPr>
              <w:t>.</w:t>
            </w:r>
          </w:p>
          <w:p w14:paraId="6EFA7406" w14:textId="77777777" w:rsidR="00600C92" w:rsidRDefault="00600C92" w:rsidP="007338E7">
            <w:pPr>
              <w:rPr>
                <w:sz w:val="24"/>
                <w:szCs w:val="24"/>
              </w:rPr>
            </w:pPr>
            <w:r>
              <w:rPr>
                <w:sz w:val="24"/>
                <w:szCs w:val="24"/>
              </w:rPr>
              <w:t xml:space="preserve">b) Appropriate NPQ undertaken. Learning shared with colleagues and embedded. </w:t>
            </w:r>
          </w:p>
          <w:p w14:paraId="11A4E077" w14:textId="5D76AD97" w:rsidR="00600C92" w:rsidRDefault="00BD69F0" w:rsidP="007338E7">
            <w:pPr>
              <w:rPr>
                <w:sz w:val="24"/>
                <w:szCs w:val="24"/>
              </w:rPr>
            </w:pPr>
            <w:r>
              <w:rPr>
                <w:sz w:val="24"/>
                <w:szCs w:val="24"/>
              </w:rPr>
              <w:t>c) Pupil attendance record monitored regularly. Issues responded to promptly.</w:t>
            </w:r>
          </w:p>
        </w:tc>
      </w:tr>
      <w:tr w:rsidR="000C0AEA" w14:paraId="52DC49A4" w14:textId="77777777" w:rsidTr="000C0AEA">
        <w:tc>
          <w:tcPr>
            <w:tcW w:w="4508" w:type="dxa"/>
          </w:tcPr>
          <w:p w14:paraId="64422F6F" w14:textId="03152AD1" w:rsidR="000C0AEA" w:rsidRDefault="00BD69F0" w:rsidP="007338E7">
            <w:pPr>
              <w:rPr>
                <w:sz w:val="24"/>
                <w:szCs w:val="24"/>
              </w:rPr>
            </w:pPr>
            <w:r>
              <w:rPr>
                <w:sz w:val="24"/>
                <w:szCs w:val="24"/>
              </w:rPr>
              <w:t>2a) Review of Interventional protocols across school</w:t>
            </w:r>
            <w:r w:rsidR="00351276">
              <w:rPr>
                <w:sz w:val="24"/>
                <w:szCs w:val="24"/>
              </w:rPr>
              <w:t>.</w:t>
            </w:r>
            <w:r>
              <w:rPr>
                <w:sz w:val="24"/>
                <w:szCs w:val="24"/>
              </w:rPr>
              <w:t xml:space="preserve"> </w:t>
            </w:r>
          </w:p>
          <w:p w14:paraId="32BEA85B" w14:textId="629241F2" w:rsidR="00BD69F0" w:rsidRDefault="00BD69F0" w:rsidP="007338E7">
            <w:pPr>
              <w:rPr>
                <w:sz w:val="24"/>
                <w:szCs w:val="24"/>
              </w:rPr>
            </w:pPr>
            <w:r>
              <w:rPr>
                <w:sz w:val="24"/>
                <w:szCs w:val="24"/>
              </w:rPr>
              <w:t>b) Pupils to make expected or better progress defined by schools’ assessment processes</w:t>
            </w:r>
            <w:r w:rsidR="00351276">
              <w:rPr>
                <w:sz w:val="24"/>
                <w:szCs w:val="24"/>
              </w:rPr>
              <w:t>.</w:t>
            </w:r>
          </w:p>
        </w:tc>
        <w:tc>
          <w:tcPr>
            <w:tcW w:w="4508" w:type="dxa"/>
          </w:tcPr>
          <w:p w14:paraId="47347C97" w14:textId="77777777" w:rsidR="00BD69F0" w:rsidRDefault="00BD69F0" w:rsidP="007338E7">
            <w:pPr>
              <w:rPr>
                <w:sz w:val="24"/>
                <w:szCs w:val="24"/>
              </w:rPr>
            </w:pPr>
            <w:r>
              <w:rPr>
                <w:sz w:val="24"/>
                <w:szCs w:val="24"/>
              </w:rPr>
              <w:t xml:space="preserve">a) Intervention access/exit strategy protocol and assessment/record keeping enhanced. </w:t>
            </w:r>
            <w:r w:rsidR="00013BCA">
              <w:rPr>
                <w:sz w:val="24"/>
                <w:szCs w:val="24"/>
              </w:rPr>
              <w:t xml:space="preserve">Pupil voice captured. </w:t>
            </w:r>
          </w:p>
          <w:p w14:paraId="574D7DB4" w14:textId="50BF9606" w:rsidR="00013BCA" w:rsidRDefault="00013BCA" w:rsidP="007338E7">
            <w:pPr>
              <w:rPr>
                <w:sz w:val="24"/>
                <w:szCs w:val="24"/>
              </w:rPr>
            </w:pPr>
            <w:r>
              <w:rPr>
                <w:sz w:val="24"/>
                <w:szCs w:val="24"/>
              </w:rPr>
              <w:t xml:space="preserve">b) Pupils progress monitored. Expected or above expected progress recorded. </w:t>
            </w:r>
          </w:p>
        </w:tc>
      </w:tr>
      <w:tr w:rsidR="000C0AEA" w14:paraId="3A85950C" w14:textId="77777777" w:rsidTr="000C0AEA">
        <w:tc>
          <w:tcPr>
            <w:tcW w:w="4508" w:type="dxa"/>
          </w:tcPr>
          <w:p w14:paraId="07CC4E31" w14:textId="77777777" w:rsidR="005A2A01" w:rsidRDefault="005A2A01" w:rsidP="007338E7">
            <w:pPr>
              <w:rPr>
                <w:sz w:val="24"/>
                <w:szCs w:val="24"/>
              </w:rPr>
            </w:pPr>
            <w:r>
              <w:rPr>
                <w:sz w:val="24"/>
                <w:szCs w:val="24"/>
              </w:rPr>
              <w:t xml:space="preserve">3a) All staff develop enhanced awareness of and capacity to support pupils Social Communication and Sensory issues. </w:t>
            </w:r>
          </w:p>
          <w:p w14:paraId="6801FDF4" w14:textId="313490B9" w:rsidR="005A2A01" w:rsidRDefault="005A2A01" w:rsidP="007338E7">
            <w:pPr>
              <w:rPr>
                <w:sz w:val="24"/>
                <w:szCs w:val="24"/>
              </w:rPr>
            </w:pPr>
          </w:p>
        </w:tc>
        <w:tc>
          <w:tcPr>
            <w:tcW w:w="4508" w:type="dxa"/>
          </w:tcPr>
          <w:p w14:paraId="3F2BF1EB" w14:textId="5433B22B" w:rsidR="000C0AEA" w:rsidRDefault="00202969" w:rsidP="003E22AE">
            <w:pPr>
              <w:rPr>
                <w:sz w:val="24"/>
                <w:szCs w:val="24"/>
              </w:rPr>
            </w:pPr>
            <w:r>
              <w:rPr>
                <w:sz w:val="24"/>
                <w:szCs w:val="24"/>
              </w:rPr>
              <w:t xml:space="preserve">a) </w:t>
            </w:r>
            <w:r w:rsidR="003E22AE" w:rsidRPr="003E22AE">
              <w:rPr>
                <w:sz w:val="24"/>
                <w:szCs w:val="24"/>
              </w:rPr>
              <w:t>Access</w:t>
            </w:r>
            <w:r w:rsidR="00A90BD1">
              <w:rPr>
                <w:sz w:val="24"/>
                <w:szCs w:val="24"/>
              </w:rPr>
              <w:t>/exit strategy protocol and assessment/record keeping enhanced. Pupil voice captured.</w:t>
            </w:r>
          </w:p>
          <w:p w14:paraId="2F7870A1" w14:textId="70829C56" w:rsidR="00A90BD1" w:rsidRPr="003E22AE" w:rsidRDefault="00202969" w:rsidP="003E22AE">
            <w:pPr>
              <w:rPr>
                <w:sz w:val="24"/>
                <w:szCs w:val="24"/>
              </w:rPr>
            </w:pPr>
            <w:r>
              <w:rPr>
                <w:sz w:val="24"/>
                <w:szCs w:val="24"/>
              </w:rPr>
              <w:t xml:space="preserve">b) </w:t>
            </w:r>
            <w:r w:rsidR="00A90BD1">
              <w:rPr>
                <w:sz w:val="24"/>
                <w:szCs w:val="24"/>
              </w:rPr>
              <w:t>Pu</w:t>
            </w:r>
            <w:r>
              <w:rPr>
                <w:sz w:val="24"/>
                <w:szCs w:val="24"/>
              </w:rPr>
              <w:t>pils have access to designated sessions to support social communication.</w:t>
            </w:r>
          </w:p>
        </w:tc>
      </w:tr>
      <w:tr w:rsidR="000C0AEA" w14:paraId="126E35A9" w14:textId="77777777" w:rsidTr="000C0AEA">
        <w:tc>
          <w:tcPr>
            <w:tcW w:w="4508" w:type="dxa"/>
          </w:tcPr>
          <w:p w14:paraId="31B3CEEB" w14:textId="79027F5A" w:rsidR="000C0AEA" w:rsidRDefault="005A1F6D" w:rsidP="007338E7">
            <w:pPr>
              <w:rPr>
                <w:sz w:val="24"/>
                <w:szCs w:val="24"/>
              </w:rPr>
            </w:pPr>
            <w:r>
              <w:rPr>
                <w:sz w:val="24"/>
                <w:szCs w:val="24"/>
              </w:rPr>
              <w:lastRenderedPageBreak/>
              <w:t xml:space="preserve">4) Provide identified pupils with 1:1 or group counselling support as appropriate. </w:t>
            </w:r>
          </w:p>
        </w:tc>
        <w:tc>
          <w:tcPr>
            <w:tcW w:w="4508" w:type="dxa"/>
          </w:tcPr>
          <w:p w14:paraId="5A15D3E1" w14:textId="4321CA72" w:rsidR="000C0AEA" w:rsidRDefault="006C6E9D" w:rsidP="007338E7">
            <w:pPr>
              <w:rPr>
                <w:sz w:val="24"/>
                <w:szCs w:val="24"/>
              </w:rPr>
            </w:pPr>
            <w:r>
              <w:rPr>
                <w:sz w:val="24"/>
                <w:szCs w:val="24"/>
              </w:rPr>
              <w:t xml:space="preserve">Counselling provision timetabled and available ad-hoc as needed. Record and pupil access and feedback. Pupil voice captured. </w:t>
            </w:r>
          </w:p>
        </w:tc>
      </w:tr>
    </w:tbl>
    <w:p w14:paraId="3089BE66" w14:textId="77777777" w:rsidR="000C0AEA" w:rsidRDefault="000C0AEA" w:rsidP="007338E7">
      <w:pPr>
        <w:rPr>
          <w:sz w:val="24"/>
          <w:szCs w:val="24"/>
        </w:rPr>
      </w:pPr>
    </w:p>
    <w:p w14:paraId="43023F0D" w14:textId="56D346DB" w:rsidR="000B7497" w:rsidRDefault="000B7497" w:rsidP="00995628">
      <w:pPr>
        <w:jc w:val="center"/>
        <w:rPr>
          <w:b/>
          <w:bCs/>
          <w:sz w:val="24"/>
          <w:szCs w:val="24"/>
        </w:rPr>
      </w:pPr>
      <w:r>
        <w:rPr>
          <w:b/>
          <w:bCs/>
          <w:sz w:val="24"/>
          <w:szCs w:val="24"/>
        </w:rPr>
        <w:t>Targeted academic support (for example, tutoring, one-to-</w:t>
      </w:r>
      <w:r w:rsidR="00FA5F0F">
        <w:rPr>
          <w:b/>
          <w:bCs/>
          <w:sz w:val="24"/>
          <w:szCs w:val="24"/>
        </w:rPr>
        <w:t>one support, structured interventions)</w:t>
      </w:r>
    </w:p>
    <w:tbl>
      <w:tblPr>
        <w:tblStyle w:val="TableGrid"/>
        <w:tblW w:w="9067" w:type="dxa"/>
        <w:tblLook w:val="04A0" w:firstRow="1" w:lastRow="0" w:firstColumn="1" w:lastColumn="0" w:noHBand="0" w:noVBand="1"/>
      </w:tblPr>
      <w:tblGrid>
        <w:gridCol w:w="3005"/>
        <w:gridCol w:w="6062"/>
      </w:tblGrid>
      <w:tr w:rsidR="00D53201" w14:paraId="5A47EF49" w14:textId="77777777" w:rsidTr="004B6B8E">
        <w:tc>
          <w:tcPr>
            <w:tcW w:w="3005" w:type="dxa"/>
            <w:shd w:val="clear" w:color="auto" w:fill="E13FAB"/>
          </w:tcPr>
          <w:p w14:paraId="3DD474E7" w14:textId="35AC7043" w:rsidR="00D53201" w:rsidRPr="004B6B8E" w:rsidRDefault="00D53201" w:rsidP="004B6B8E">
            <w:pPr>
              <w:jc w:val="center"/>
              <w:rPr>
                <w:b/>
                <w:bCs/>
                <w:sz w:val="24"/>
                <w:szCs w:val="24"/>
              </w:rPr>
            </w:pPr>
            <w:r w:rsidRPr="004B6B8E">
              <w:rPr>
                <w:b/>
                <w:bCs/>
                <w:sz w:val="24"/>
                <w:szCs w:val="24"/>
              </w:rPr>
              <w:t>Activity</w:t>
            </w:r>
          </w:p>
        </w:tc>
        <w:tc>
          <w:tcPr>
            <w:tcW w:w="6062" w:type="dxa"/>
            <w:shd w:val="clear" w:color="auto" w:fill="E13FAB"/>
          </w:tcPr>
          <w:p w14:paraId="1A959B03" w14:textId="335B9814" w:rsidR="00D53201" w:rsidRPr="004B6B8E" w:rsidRDefault="00D53201" w:rsidP="004B6B8E">
            <w:pPr>
              <w:jc w:val="center"/>
              <w:rPr>
                <w:b/>
                <w:bCs/>
                <w:sz w:val="24"/>
                <w:szCs w:val="24"/>
              </w:rPr>
            </w:pPr>
            <w:r w:rsidRPr="004B6B8E">
              <w:rPr>
                <w:b/>
                <w:bCs/>
                <w:sz w:val="24"/>
                <w:szCs w:val="24"/>
              </w:rPr>
              <w:t>Evidence that supports this approach</w:t>
            </w:r>
          </w:p>
        </w:tc>
      </w:tr>
      <w:tr w:rsidR="00D53201" w14:paraId="0B43ACDA" w14:textId="77777777" w:rsidTr="004B6B8E">
        <w:tc>
          <w:tcPr>
            <w:tcW w:w="3005" w:type="dxa"/>
          </w:tcPr>
          <w:p w14:paraId="14B3B470" w14:textId="29519155" w:rsidR="00D53201" w:rsidRDefault="00D53201" w:rsidP="007338E7">
            <w:pPr>
              <w:rPr>
                <w:sz w:val="24"/>
                <w:szCs w:val="24"/>
              </w:rPr>
            </w:pPr>
            <w:r>
              <w:rPr>
                <w:sz w:val="24"/>
                <w:szCs w:val="24"/>
              </w:rPr>
              <w:t xml:space="preserve">Social Communication sessions </w:t>
            </w:r>
          </w:p>
        </w:tc>
        <w:tc>
          <w:tcPr>
            <w:tcW w:w="6062" w:type="dxa"/>
          </w:tcPr>
          <w:p w14:paraId="4D1DFC43" w14:textId="76E71337" w:rsidR="00D53201" w:rsidRDefault="00D53201" w:rsidP="007338E7">
            <w:pPr>
              <w:rPr>
                <w:sz w:val="24"/>
                <w:szCs w:val="24"/>
              </w:rPr>
            </w:pPr>
            <w:r>
              <w:rPr>
                <w:sz w:val="24"/>
                <w:szCs w:val="24"/>
              </w:rPr>
              <w:t>There is extensive advice associating childhood social and emotional skills with improved outcomes at school and later life (</w:t>
            </w:r>
            <w:proofErr w:type="gramStart"/>
            <w:r>
              <w:rPr>
                <w:sz w:val="24"/>
                <w:szCs w:val="24"/>
              </w:rPr>
              <w:t>e.g.</w:t>
            </w:r>
            <w:proofErr w:type="gramEnd"/>
            <w:r>
              <w:rPr>
                <w:sz w:val="24"/>
                <w:szCs w:val="24"/>
              </w:rPr>
              <w:t xml:space="preserve"> improved academic performance, attitude, behaviour and relationships with peers). </w:t>
            </w:r>
          </w:p>
        </w:tc>
      </w:tr>
      <w:tr w:rsidR="00D53201" w14:paraId="33178645" w14:textId="77777777" w:rsidTr="004B6B8E">
        <w:tc>
          <w:tcPr>
            <w:tcW w:w="3005" w:type="dxa"/>
          </w:tcPr>
          <w:p w14:paraId="3E4AE875" w14:textId="62BA102C" w:rsidR="00D53201" w:rsidRDefault="00D53201" w:rsidP="007338E7">
            <w:pPr>
              <w:rPr>
                <w:sz w:val="24"/>
                <w:szCs w:val="24"/>
              </w:rPr>
            </w:pPr>
            <w:r>
              <w:rPr>
                <w:sz w:val="24"/>
                <w:szCs w:val="24"/>
              </w:rPr>
              <w:t xml:space="preserve">Teacher delivered support sessions </w:t>
            </w:r>
          </w:p>
        </w:tc>
        <w:tc>
          <w:tcPr>
            <w:tcW w:w="6062" w:type="dxa"/>
          </w:tcPr>
          <w:p w14:paraId="5AC4B25C" w14:textId="008347B3" w:rsidR="00D53201" w:rsidRDefault="00D53201" w:rsidP="007338E7">
            <w:pPr>
              <w:rPr>
                <w:sz w:val="24"/>
                <w:szCs w:val="24"/>
              </w:rPr>
            </w:pPr>
            <w:r>
              <w:rPr>
                <w:sz w:val="24"/>
                <w:szCs w:val="24"/>
              </w:rPr>
              <w:t xml:space="preserve">Tuition is targeted specifically towards individual needs and knowledge gaps can be </w:t>
            </w:r>
            <w:r w:rsidR="003F4E93">
              <w:rPr>
                <w:sz w:val="24"/>
                <w:szCs w:val="24"/>
              </w:rPr>
              <w:t>an effective method to support low attaining pupils or those falling behind.</w:t>
            </w:r>
          </w:p>
        </w:tc>
      </w:tr>
    </w:tbl>
    <w:p w14:paraId="53B60502" w14:textId="77777777" w:rsidR="00FA5F0F" w:rsidRDefault="00FA5F0F" w:rsidP="007338E7">
      <w:pPr>
        <w:rPr>
          <w:sz w:val="24"/>
          <w:szCs w:val="24"/>
        </w:rPr>
      </w:pPr>
    </w:p>
    <w:p w14:paraId="49A6C6A4" w14:textId="77777777" w:rsidR="007E37F8" w:rsidRPr="007E37F8" w:rsidRDefault="007E37F8" w:rsidP="007338E7">
      <w:pPr>
        <w:rPr>
          <w:sz w:val="24"/>
          <w:szCs w:val="24"/>
        </w:rPr>
      </w:pPr>
    </w:p>
    <w:sectPr w:rsidR="007E37F8" w:rsidRPr="007E3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0896"/>
    <w:multiLevelType w:val="hybridMultilevel"/>
    <w:tmpl w:val="4BEAD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1B3AA0"/>
    <w:multiLevelType w:val="hybridMultilevel"/>
    <w:tmpl w:val="B70C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7A526C"/>
    <w:multiLevelType w:val="hybridMultilevel"/>
    <w:tmpl w:val="F7F8A6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D710F"/>
    <w:multiLevelType w:val="hybridMultilevel"/>
    <w:tmpl w:val="18A02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C54145"/>
    <w:multiLevelType w:val="hybridMultilevel"/>
    <w:tmpl w:val="925EB2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0257E0"/>
    <w:multiLevelType w:val="hybridMultilevel"/>
    <w:tmpl w:val="5B9E4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403473">
    <w:abstractNumId w:val="1"/>
  </w:num>
  <w:num w:numId="2" w16cid:durableId="637535499">
    <w:abstractNumId w:val="0"/>
  </w:num>
  <w:num w:numId="3" w16cid:durableId="1177619171">
    <w:abstractNumId w:val="4"/>
  </w:num>
  <w:num w:numId="4" w16cid:durableId="1237085948">
    <w:abstractNumId w:val="2"/>
  </w:num>
  <w:num w:numId="5" w16cid:durableId="1611474353">
    <w:abstractNumId w:val="5"/>
  </w:num>
  <w:num w:numId="6" w16cid:durableId="1992906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75"/>
    <w:rsid w:val="00013BCA"/>
    <w:rsid w:val="000B7497"/>
    <w:rsid w:val="000C0AEA"/>
    <w:rsid w:val="00202969"/>
    <w:rsid w:val="00341471"/>
    <w:rsid w:val="00351276"/>
    <w:rsid w:val="003E22AE"/>
    <w:rsid w:val="003F4E93"/>
    <w:rsid w:val="00426EA9"/>
    <w:rsid w:val="004B34E1"/>
    <w:rsid w:val="004B6B8E"/>
    <w:rsid w:val="004D2F75"/>
    <w:rsid w:val="005A1F6D"/>
    <w:rsid w:val="005A2A01"/>
    <w:rsid w:val="00600C92"/>
    <w:rsid w:val="00621DE9"/>
    <w:rsid w:val="006C6E9D"/>
    <w:rsid w:val="006E398C"/>
    <w:rsid w:val="007308AC"/>
    <w:rsid w:val="007338E7"/>
    <w:rsid w:val="007E37F8"/>
    <w:rsid w:val="00824260"/>
    <w:rsid w:val="008B5B80"/>
    <w:rsid w:val="00947F55"/>
    <w:rsid w:val="00995628"/>
    <w:rsid w:val="00A54B95"/>
    <w:rsid w:val="00A90BD1"/>
    <w:rsid w:val="00B51536"/>
    <w:rsid w:val="00BD69F0"/>
    <w:rsid w:val="00C16BED"/>
    <w:rsid w:val="00D53201"/>
    <w:rsid w:val="00EF2FD9"/>
    <w:rsid w:val="00FA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4791"/>
  <w15:chartTrackingRefBased/>
  <w15:docId w15:val="{CAD1B560-E8D1-4516-94C3-E54062F3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2F7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F75"/>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D2F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D2F75"/>
    <w:rPr>
      <w:color w:val="0000FF"/>
      <w:u w:val="single"/>
    </w:rPr>
  </w:style>
  <w:style w:type="paragraph" w:styleId="ListParagraph">
    <w:name w:val="List Paragraph"/>
    <w:basedOn w:val="Normal"/>
    <w:uiPriority w:val="34"/>
    <w:qFormat/>
    <w:rsid w:val="004D2F75"/>
    <w:pPr>
      <w:ind w:left="720"/>
      <w:contextualSpacing/>
    </w:pPr>
  </w:style>
  <w:style w:type="table" w:styleId="TableGrid">
    <w:name w:val="Table Grid"/>
    <w:basedOn w:val="TableNormal"/>
    <w:uiPriority w:val="39"/>
    <w:rsid w:val="0073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Conley</dc:creator>
  <cp:keywords/>
  <dc:description/>
  <cp:lastModifiedBy>Rose Conley</cp:lastModifiedBy>
  <cp:revision>27</cp:revision>
  <cp:lastPrinted>2023-11-03T10:49:00Z</cp:lastPrinted>
  <dcterms:created xsi:type="dcterms:W3CDTF">2023-11-03T22:28:00Z</dcterms:created>
  <dcterms:modified xsi:type="dcterms:W3CDTF">2023-11-06T08:54:00Z</dcterms:modified>
</cp:coreProperties>
</file>